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</w:rPr>
      </w:pPr>
      <w:r w:rsidRPr="00837AC9">
        <w:rPr>
          <w:rFonts w:ascii="Arial" w:hAnsi="Arial" w:cs="Arial"/>
          <w:b/>
          <w:color w:val="231F20"/>
        </w:rPr>
        <w:t>Revista Legislativa No.1  Junio 2008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Presentación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 w:rsidRPr="00837AC9">
        <w:rPr>
          <w:rFonts w:ascii="Arial" w:hAnsi="Arial" w:cs="Arial"/>
          <w:i/>
          <w:iCs/>
          <w:color w:val="231F20"/>
        </w:rPr>
        <w:t>3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POLÍTICA SOCIAL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>Alejandro Navarro Arredondo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Análisis y consideraciones teóricas sobre el marco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 xml:space="preserve">de referencia del programa 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Hábitat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 w:rsidRPr="00837AC9">
        <w:rPr>
          <w:rFonts w:ascii="Arial" w:hAnsi="Arial" w:cs="Arial"/>
          <w:i/>
          <w:iCs/>
          <w:color w:val="231F20"/>
        </w:rPr>
        <w:t>9</w:t>
      </w:r>
    </w:p>
    <w:p w:rsidR="00837AC9" w:rsidRPr="002C67AF" w:rsidRDefault="00837AC9" w:rsidP="00837AC9">
      <w:pPr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cesop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rlegis</w:t>
      </w:r>
      <w:proofErr w:type="spellEnd"/>
      <w:r>
        <w:rPr>
          <w:lang w:val="en-US"/>
        </w:rPr>
        <w:t>/rl12008</w:t>
      </w:r>
      <w:r w:rsidRPr="002C67AF">
        <w:rPr>
          <w:lang w:val="en-US"/>
        </w:rPr>
        <w:t>/articulo</w:t>
      </w:r>
      <w:r>
        <w:rPr>
          <w:lang w:val="en-US"/>
        </w:rPr>
        <w:t>1</w:t>
      </w:r>
      <w:r w:rsidRPr="002C67AF">
        <w:rPr>
          <w:lang w:val="en-US"/>
        </w:rPr>
        <w:t>.pdf</w:t>
      </w:r>
    </w:p>
    <w:p w:rsidR="00837AC9" w:rsidRPr="00837AC9" w:rsidRDefault="00837AC9" w:rsidP="00837AC9">
      <w:pPr>
        <w:tabs>
          <w:tab w:val="left" w:pos="2370"/>
        </w:tabs>
        <w:rPr>
          <w:lang w:val="en-US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 xml:space="preserve">Carlos Arturo Baños </w:t>
      </w:r>
      <w:proofErr w:type="spellStart"/>
      <w:r w:rsidRPr="00837AC9">
        <w:rPr>
          <w:rFonts w:ascii="Arial" w:hAnsi="Arial" w:cs="Arial"/>
          <w:i/>
          <w:iCs/>
          <w:color w:val="231F20"/>
        </w:rPr>
        <w:t>Lemoine</w:t>
      </w:r>
      <w:proofErr w:type="spellEnd"/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Pecado, delito y enfermedad. El “estigma” de ser homosexual.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Notas de sociología crítica a propósito de las uniones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>homosexuales en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 xml:space="preserve"> América Latina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 w:rsidRPr="00837AC9">
        <w:rPr>
          <w:rFonts w:ascii="Arial" w:hAnsi="Arial" w:cs="Arial"/>
          <w:i/>
          <w:iCs/>
          <w:color w:val="231F20"/>
        </w:rPr>
        <w:t>45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2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OPINIÓN PÚBLICA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>Efrén Arellano Trejo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La cultura democrática y los valores cívicos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>del trabajo legislativo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 w:rsidRPr="00837AC9">
        <w:rPr>
          <w:rFonts w:ascii="Arial" w:hAnsi="Arial" w:cs="Arial"/>
          <w:i/>
          <w:iCs/>
          <w:color w:val="231F20"/>
        </w:rPr>
        <w:t>81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3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 xml:space="preserve">Carlos Manuel Rodríguez </w:t>
      </w:r>
      <w:proofErr w:type="spellStart"/>
      <w:r w:rsidRPr="00837AC9">
        <w:rPr>
          <w:rFonts w:ascii="Arial" w:hAnsi="Arial" w:cs="Arial"/>
          <w:i/>
          <w:iCs/>
          <w:color w:val="231F20"/>
        </w:rPr>
        <w:t>Arechavaleta</w:t>
      </w:r>
      <w:proofErr w:type="spellEnd"/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Persuasión política, opinión pública y decisión del voto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>en las elecciones presidenciales México 2006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105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4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DESARROLLO REGIONAL Y FEDERALISMO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>Sergio Vargas Velásquez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El conflicto y la negociación en la percepción de los usuarios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>del agua en la cuenca Lerma-</w:t>
      </w:r>
      <w:proofErr w:type="spellStart"/>
      <w:r w:rsidRPr="00837AC9">
        <w:rPr>
          <w:rFonts w:ascii="Arial" w:hAnsi="Arial" w:cs="Arial"/>
          <w:color w:val="231F20"/>
        </w:rPr>
        <w:t>Chapala</w:t>
      </w:r>
      <w:proofErr w:type="spellEnd"/>
      <w:r w:rsidRPr="00837AC9">
        <w:rPr>
          <w:rFonts w:ascii="Arial" w:hAnsi="Arial" w:cs="Arial"/>
          <w:color w:val="231F20"/>
        </w:rPr>
        <w:t>, 1999-2004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155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5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POLÍTICA INTERNACIONAL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>Kenia María Ramírez Meda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Las relaciones México-Canadá en el nuevo orden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>internacional: evolución, retos y perspectivas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185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6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lastRenderedPageBreak/>
        <w:t xml:space="preserve">Cecilia </w:t>
      </w:r>
      <w:proofErr w:type="spellStart"/>
      <w:r w:rsidRPr="00837AC9">
        <w:rPr>
          <w:rFonts w:ascii="Arial" w:hAnsi="Arial" w:cs="Arial"/>
          <w:i/>
          <w:iCs/>
          <w:color w:val="231F20"/>
        </w:rPr>
        <w:t>Lesgart</w:t>
      </w:r>
      <w:proofErr w:type="spellEnd"/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Ciencia política en Argentina. Trazos históricos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>e historiográficos en perspectiva comparada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227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7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COMPETITIVIDAD Y DESARROLLO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>José de Jesús González Rodríguez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Pemex, datos y propuestas legislativas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>sobre su régimen financiero</w:t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269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8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RESEÑAS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Roberto Ocampo Hurtado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>El acertijo de la legitimidad. Por una democracia eficaz</w:t>
      </w:r>
      <w:r>
        <w:rPr>
          <w:rFonts w:ascii="Arial" w:hAnsi="Arial" w:cs="Arial"/>
          <w:i/>
          <w:iCs/>
          <w:color w:val="231F20"/>
        </w:rPr>
        <w:t xml:space="preserve"> en un entorno de legalidad y </w:t>
      </w:r>
      <w:r w:rsidRPr="00837AC9">
        <w:rPr>
          <w:rFonts w:ascii="Arial" w:hAnsi="Arial" w:cs="Arial"/>
          <w:i/>
          <w:iCs/>
          <w:color w:val="231F20"/>
        </w:rPr>
        <w:t>desarrollo,</w:t>
      </w:r>
      <w:r>
        <w:rPr>
          <w:rFonts w:ascii="Arial" w:hAnsi="Arial" w:cs="Arial"/>
          <w:i/>
          <w:iCs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>de Luis Rubio y Edna Jaime</w:t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307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 xml:space="preserve">Gustavo </w:t>
      </w:r>
      <w:proofErr w:type="spellStart"/>
      <w:r w:rsidRPr="00837AC9">
        <w:rPr>
          <w:rFonts w:ascii="Arial" w:hAnsi="Arial" w:cs="Arial"/>
          <w:color w:val="231F20"/>
        </w:rPr>
        <w:t>Meixueiro</w:t>
      </w:r>
      <w:proofErr w:type="spellEnd"/>
      <w:r w:rsidRPr="00837AC9">
        <w:rPr>
          <w:rFonts w:ascii="Arial" w:hAnsi="Arial" w:cs="Arial"/>
          <w:color w:val="231F20"/>
        </w:rPr>
        <w:t xml:space="preserve"> Nájera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9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>La construcción social y política del medio ambiente,</w:t>
      </w:r>
      <w:r>
        <w:rPr>
          <w:rFonts w:ascii="Arial" w:hAnsi="Arial" w:cs="Arial"/>
          <w:i/>
          <w:iCs/>
          <w:color w:val="231F20"/>
        </w:rPr>
        <w:t xml:space="preserve"> +</w:t>
      </w:r>
      <w:r w:rsidRPr="00837AC9">
        <w:rPr>
          <w:rFonts w:ascii="Arial" w:hAnsi="Arial" w:cs="Arial"/>
          <w:color w:val="231F20"/>
        </w:rPr>
        <w:t>de José Luis Lezama</w:t>
      </w:r>
      <w:r>
        <w:rPr>
          <w:rFonts w:ascii="Arial" w:hAnsi="Arial" w:cs="Arial"/>
          <w:i/>
          <w:iCs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312</w:t>
      </w: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>Salvador Moreno Pérez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10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r w:rsidRPr="00837AC9">
        <w:rPr>
          <w:rFonts w:ascii="Arial" w:hAnsi="Arial" w:cs="Arial"/>
          <w:i/>
          <w:iCs/>
          <w:color w:val="231F20"/>
        </w:rPr>
        <w:t>La representación parlamentaria. Un recorrido histórico</w:t>
      </w:r>
      <w:r>
        <w:rPr>
          <w:rFonts w:ascii="Arial" w:hAnsi="Arial" w:cs="Arial"/>
          <w:i/>
          <w:iCs/>
          <w:color w:val="231F20"/>
        </w:rPr>
        <w:t xml:space="preserve"> </w:t>
      </w:r>
      <w:r w:rsidRPr="00837AC9">
        <w:rPr>
          <w:rFonts w:ascii="Arial" w:hAnsi="Arial" w:cs="Arial"/>
          <w:i/>
          <w:iCs/>
          <w:color w:val="231F20"/>
        </w:rPr>
        <w:t xml:space="preserve">por la teoría política, </w:t>
      </w:r>
      <w:r w:rsidRPr="00837AC9">
        <w:rPr>
          <w:rFonts w:ascii="Arial" w:hAnsi="Arial" w:cs="Arial"/>
          <w:color w:val="231F20"/>
        </w:rPr>
        <w:t>de Laura Valencia Escamilla</w:t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</w:r>
      <w:r>
        <w:rPr>
          <w:rFonts w:ascii="Arial" w:hAnsi="Arial" w:cs="Arial"/>
          <w:i/>
          <w:iCs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316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11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P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837AC9">
        <w:rPr>
          <w:rFonts w:ascii="Arial" w:hAnsi="Arial" w:cs="Arial"/>
          <w:color w:val="231F20"/>
        </w:rPr>
        <w:t xml:space="preserve">Oscar Rodríguez Olvera, </w:t>
      </w:r>
      <w:proofErr w:type="spellStart"/>
      <w:r w:rsidRPr="00837AC9">
        <w:rPr>
          <w:rFonts w:ascii="Arial" w:hAnsi="Arial" w:cs="Arial"/>
          <w:color w:val="231F20"/>
        </w:rPr>
        <w:t>Lilyan</w:t>
      </w:r>
      <w:proofErr w:type="spellEnd"/>
      <w:r w:rsidRPr="00837AC9">
        <w:rPr>
          <w:rFonts w:ascii="Arial" w:hAnsi="Arial" w:cs="Arial"/>
          <w:color w:val="231F20"/>
        </w:rPr>
        <w:t xml:space="preserve"> Galante Romano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i/>
          <w:iCs/>
          <w:color w:val="231F20"/>
        </w:rPr>
        <w:t>Derec</w:t>
      </w:r>
      <w:r>
        <w:rPr>
          <w:rFonts w:ascii="Arial" w:hAnsi="Arial" w:cs="Arial"/>
          <w:i/>
          <w:iCs/>
          <w:color w:val="231F20"/>
        </w:rPr>
        <w:t xml:space="preserve">hos y garantías. La ley del más </w:t>
      </w:r>
      <w:r w:rsidRPr="00837AC9">
        <w:rPr>
          <w:rFonts w:ascii="Arial" w:hAnsi="Arial" w:cs="Arial"/>
          <w:i/>
          <w:iCs/>
          <w:color w:val="231F20"/>
        </w:rPr>
        <w:t>débil,</w:t>
      </w:r>
      <w:r>
        <w:rPr>
          <w:rFonts w:ascii="Arial" w:hAnsi="Arial" w:cs="Arial"/>
          <w:color w:val="231F20"/>
        </w:rPr>
        <w:t xml:space="preserve"> </w:t>
      </w:r>
      <w:r w:rsidRPr="00837AC9">
        <w:rPr>
          <w:rFonts w:ascii="Arial" w:hAnsi="Arial" w:cs="Arial"/>
          <w:color w:val="231F20"/>
        </w:rPr>
        <w:t xml:space="preserve">de Luigi </w:t>
      </w:r>
      <w:proofErr w:type="spellStart"/>
      <w:r w:rsidRPr="00837AC9">
        <w:rPr>
          <w:rFonts w:ascii="Arial" w:hAnsi="Arial" w:cs="Arial"/>
          <w:color w:val="231F20"/>
        </w:rPr>
        <w:t>Ferrajoli</w:t>
      </w:r>
      <w:proofErr w:type="spellEnd"/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319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12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  <w:proofErr w:type="spellStart"/>
      <w:r w:rsidRPr="00837AC9">
        <w:rPr>
          <w:rFonts w:ascii="Arial" w:hAnsi="Arial" w:cs="Arial"/>
          <w:color w:val="231F20"/>
        </w:rPr>
        <w:t>Dunia</w:t>
      </w:r>
      <w:proofErr w:type="spellEnd"/>
      <w:r w:rsidRPr="00837AC9">
        <w:rPr>
          <w:rFonts w:ascii="Arial" w:hAnsi="Arial" w:cs="Arial"/>
          <w:color w:val="231F20"/>
        </w:rPr>
        <w:t xml:space="preserve"> </w:t>
      </w:r>
      <w:proofErr w:type="spellStart"/>
      <w:r w:rsidRPr="00837AC9">
        <w:rPr>
          <w:rFonts w:ascii="Arial" w:hAnsi="Arial" w:cs="Arial"/>
          <w:color w:val="231F20"/>
        </w:rPr>
        <w:t>Ludlow</w:t>
      </w:r>
      <w:proofErr w:type="spellEnd"/>
      <w:r w:rsidRPr="00837AC9">
        <w:rPr>
          <w:rFonts w:ascii="Arial" w:hAnsi="Arial" w:cs="Arial"/>
          <w:color w:val="231F20"/>
        </w:rPr>
        <w:t xml:space="preserve"> </w:t>
      </w:r>
      <w:proofErr w:type="spellStart"/>
      <w:r w:rsidRPr="00837AC9">
        <w:rPr>
          <w:rFonts w:ascii="Arial" w:hAnsi="Arial" w:cs="Arial"/>
          <w:color w:val="231F20"/>
        </w:rPr>
        <w:t>Deloya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 w:rsidRPr="00837AC9">
        <w:rPr>
          <w:rFonts w:ascii="Arial" w:hAnsi="Arial" w:cs="Arial"/>
          <w:i/>
          <w:iCs/>
          <w:color w:val="231F20"/>
        </w:rPr>
        <w:t>Ius</w:t>
      </w:r>
      <w:proofErr w:type="spellEnd"/>
      <w:r w:rsidRPr="00837AC9">
        <w:rPr>
          <w:rFonts w:ascii="Arial" w:hAnsi="Arial" w:cs="Arial"/>
          <w:i/>
          <w:iCs/>
          <w:color w:val="231F20"/>
        </w:rPr>
        <w:t xml:space="preserve"> </w:t>
      </w:r>
      <w:proofErr w:type="spellStart"/>
      <w:r w:rsidRPr="00837AC9">
        <w:rPr>
          <w:rFonts w:ascii="Arial" w:hAnsi="Arial" w:cs="Arial"/>
          <w:i/>
          <w:iCs/>
          <w:color w:val="231F20"/>
        </w:rPr>
        <w:t>migrandi</w:t>
      </w:r>
      <w:proofErr w:type="spellEnd"/>
      <w:r w:rsidRPr="00837AC9">
        <w:rPr>
          <w:rFonts w:ascii="Arial" w:hAnsi="Arial" w:cs="Arial"/>
          <w:i/>
          <w:iCs/>
          <w:color w:val="231F20"/>
        </w:rPr>
        <w:t xml:space="preserve">, </w:t>
      </w:r>
      <w:r w:rsidRPr="00837AC9">
        <w:rPr>
          <w:rFonts w:ascii="Arial" w:hAnsi="Arial" w:cs="Arial"/>
          <w:color w:val="231F20"/>
        </w:rPr>
        <w:t xml:space="preserve">de </w:t>
      </w:r>
      <w:proofErr w:type="spellStart"/>
      <w:r w:rsidRPr="00837AC9">
        <w:rPr>
          <w:rFonts w:ascii="Arial" w:hAnsi="Arial" w:cs="Arial"/>
          <w:color w:val="231F20"/>
        </w:rPr>
        <w:t>Ermanno</w:t>
      </w:r>
      <w:proofErr w:type="spellEnd"/>
      <w:r w:rsidRPr="00837AC9">
        <w:rPr>
          <w:rFonts w:ascii="Arial" w:hAnsi="Arial" w:cs="Arial"/>
          <w:color w:val="231F20"/>
        </w:rPr>
        <w:t xml:space="preserve"> </w:t>
      </w:r>
      <w:proofErr w:type="spellStart"/>
      <w:r w:rsidRPr="00837AC9">
        <w:rPr>
          <w:rFonts w:ascii="Arial" w:hAnsi="Arial" w:cs="Arial"/>
          <w:color w:val="231F20"/>
        </w:rPr>
        <w:t>Vitale</w:t>
      </w:r>
      <w:proofErr w:type="spellEnd"/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ab/>
        <w:t xml:space="preserve">           </w:t>
      </w:r>
      <w:r w:rsidRPr="00837AC9">
        <w:rPr>
          <w:rFonts w:ascii="Arial" w:hAnsi="Arial" w:cs="Arial"/>
          <w:i/>
          <w:iCs/>
          <w:color w:val="231F20"/>
        </w:rPr>
        <w:t>324</w:t>
      </w:r>
    </w:p>
    <w:p w:rsidR="00837AC9" w:rsidRPr="00837AC9" w:rsidRDefault="00837AC9" w:rsidP="00837AC9">
      <w:proofErr w:type="spellStart"/>
      <w:r w:rsidRPr="00837AC9">
        <w:t>janium</w:t>
      </w:r>
      <w:proofErr w:type="spellEnd"/>
      <w:r w:rsidRPr="00837AC9">
        <w:t>/</w:t>
      </w:r>
      <w:proofErr w:type="spellStart"/>
      <w:r w:rsidRPr="00837AC9">
        <w:t>bv</w:t>
      </w:r>
      <w:proofErr w:type="spellEnd"/>
      <w:r w:rsidRPr="00837AC9">
        <w:t>/</w:t>
      </w:r>
      <w:proofErr w:type="spellStart"/>
      <w:r w:rsidRPr="00837AC9">
        <w:t>cesop</w:t>
      </w:r>
      <w:proofErr w:type="spellEnd"/>
      <w:r w:rsidRPr="00837AC9">
        <w:t>/</w:t>
      </w:r>
      <w:proofErr w:type="spellStart"/>
      <w:r w:rsidRPr="00837AC9">
        <w:t>rlegis</w:t>
      </w:r>
      <w:proofErr w:type="spellEnd"/>
      <w:r w:rsidRPr="00837AC9">
        <w:t>/rl12008/articulo</w:t>
      </w:r>
      <w:r>
        <w:t>13</w:t>
      </w:r>
      <w:r w:rsidRPr="00837AC9">
        <w:t>.pdf</w:t>
      </w:r>
    </w:p>
    <w:p w:rsidR="00837AC9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</w:rPr>
      </w:pPr>
    </w:p>
    <w:p w:rsidR="00837AC9" w:rsidRDefault="00837AC9" w:rsidP="00837AC9">
      <w:pPr>
        <w:rPr>
          <w:b/>
        </w:rPr>
      </w:pPr>
    </w:p>
    <w:p w:rsidR="00837AC9" w:rsidRDefault="00837AC9" w:rsidP="00837AC9">
      <w:pPr>
        <w:rPr>
          <w:b/>
        </w:rPr>
      </w:pPr>
    </w:p>
    <w:p w:rsidR="00837AC9" w:rsidRDefault="00837AC9" w:rsidP="00837AC9">
      <w:pPr>
        <w:rPr>
          <w:b/>
        </w:rPr>
      </w:pPr>
    </w:p>
    <w:p w:rsidR="00837AC9" w:rsidRPr="004D3187" w:rsidRDefault="00837AC9" w:rsidP="00837AC9">
      <w:pPr>
        <w:rPr>
          <w:b/>
        </w:rPr>
      </w:pPr>
      <w:proofErr w:type="gramStart"/>
      <w:r w:rsidRPr="004D3187">
        <w:rPr>
          <w:b/>
        </w:rPr>
        <w:lastRenderedPageBreak/>
        <w:t>imagen</w:t>
      </w:r>
      <w:proofErr w:type="gramEnd"/>
      <w:r w:rsidRPr="004D3187">
        <w:rPr>
          <w:b/>
        </w:rPr>
        <w:t xml:space="preserve"> de portada:</w:t>
      </w:r>
    </w:p>
    <w:p w:rsidR="00837AC9" w:rsidRPr="00742DD6" w:rsidRDefault="00837AC9" w:rsidP="00837AC9">
      <w:pPr>
        <w:rPr>
          <w:lang w:val="en-US"/>
        </w:rPr>
      </w:pPr>
      <w:proofErr w:type="spellStart"/>
      <w:r w:rsidRPr="00742DD6">
        <w:rPr>
          <w:lang w:val="en-US"/>
        </w:rPr>
        <w:t>janium</w:t>
      </w:r>
      <w:proofErr w:type="spellEnd"/>
      <w:r w:rsidRPr="00742DD6">
        <w:rPr>
          <w:lang w:val="en-US"/>
        </w:rPr>
        <w:t>/</w:t>
      </w:r>
      <w:proofErr w:type="spellStart"/>
      <w:r w:rsidRPr="00742DD6">
        <w:rPr>
          <w:lang w:val="en-US"/>
        </w:rPr>
        <w:t>bv</w:t>
      </w:r>
      <w:proofErr w:type="spellEnd"/>
      <w:r w:rsidRPr="00742DD6">
        <w:rPr>
          <w:lang w:val="en-US"/>
        </w:rPr>
        <w:t>/</w:t>
      </w:r>
      <w:proofErr w:type="spellStart"/>
      <w:r w:rsidRPr="00742DD6">
        <w:rPr>
          <w:lang w:val="en-US"/>
        </w:rPr>
        <w:t>cesop</w:t>
      </w:r>
      <w:proofErr w:type="spellEnd"/>
      <w:r w:rsidRPr="00742DD6">
        <w:rPr>
          <w:lang w:val="en-US"/>
        </w:rPr>
        <w:t>/</w:t>
      </w:r>
      <w:proofErr w:type="spellStart"/>
      <w:r w:rsidR="00742DD6" w:rsidRPr="00742DD6">
        <w:rPr>
          <w:lang w:val="en-US"/>
        </w:rPr>
        <w:t>rlegis</w:t>
      </w:r>
      <w:proofErr w:type="spellEnd"/>
      <w:r w:rsidR="00742DD6" w:rsidRPr="00742DD6">
        <w:rPr>
          <w:lang w:val="en-US"/>
        </w:rPr>
        <w:t>/rl12008</w:t>
      </w:r>
      <w:r w:rsidRPr="00742DD6">
        <w:rPr>
          <w:lang w:val="en-US"/>
        </w:rPr>
        <w:t>/portada.jpg</w:t>
      </w:r>
    </w:p>
    <w:p w:rsidR="00837AC9" w:rsidRPr="00742DD6" w:rsidRDefault="00837AC9" w:rsidP="00837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lang w:val="en-US"/>
        </w:rPr>
      </w:pPr>
    </w:p>
    <w:sectPr w:rsidR="00837AC9" w:rsidRPr="00742DD6" w:rsidSect="00B92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AC9"/>
    <w:rsid w:val="00742DD6"/>
    <w:rsid w:val="00837AC9"/>
    <w:rsid w:val="00B9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2011-10-26T17:35:00Z</dcterms:created>
  <dcterms:modified xsi:type="dcterms:W3CDTF">2011-10-26T17:47:00Z</dcterms:modified>
</cp:coreProperties>
</file>